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Item243434" w:id="243434"/>
    <w:bookmarkEnd w:id="243434"/>
    <w:bookmarkStart w:name="TemplateTable-2" w:id="2"/>
    <w:bookmarkEnd w:id="2"/>
    <w:tbl>
      <w:tblPr>
        <w:tblW w:w="0" w:type="dxa"/>
      </w:tblPr>
      <w:tblGrid>
        <w:gridCol w:w="3600"/>
        <w:gridCol w:w="5760"/>
      </w:tblGrid>
      <w:tr>
        <w:trPr>
          <w:cantSplit w:val="off"/>
        </w:trPr>
        <w:tc>
          <w:tcPr>
            <w:tcW w:w="3600" w:type="dxa"/>
            <w:vAlign w:val="top"/>
          </w:tcPr>
          <w:p>
            <w:r>
              <w:drawing>
                <wp:inline xmlns:wp14="http://schemas.microsoft.com/office/word/2010/wordprocessingDrawing" distT="0" distB="0" distL="0" distR="0" wp14:editId="50D07946">
                  <wp:extent cx="2381250" cy="857250"/>
                  <wp:effectExtent l="0" t="0" r="0" b="0"/>
                  <wp:docPr id="1" name="AT 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 logo"/>
                          <pic:cNvPicPr/>
                        </pic:nvPicPr>
                        <pic:blipFill>
                          <a:blip r:embed="Rd66da7dca497450c" cstate="print">
                            <a:extLst>
                              <a:ext uri="{28A0092B-C50C-407E-A947-70E740481C1C}"/>
                            </a:extLst>
                          </a:blip>
                          <a:stretch>
                            <a:fillRect/>
                          </a:stretch>
                        </pic:blipFill>
                        <pic:spPr>
                          <a:xfrm>
                            <a:off x="0" y="0"/>
                            <a:ext cx="2381250" cy="857250"/>
                          </a:xfrm>
                          <a:prstGeom prst="rect">
                            <a:avLst/>
                          </a:prstGeom>
                        </pic:spPr>
                      </pic:pic>
                    </a:graphicData>
                  </a:graphic>
                </wp:inline>
              </w:drawing>
            </w:r>
          </w:p>
        </w:tc>
        <w:tc>
          <w:tcPr>
            <w:tcW w:w="5760" w:type="dxa"/>
            <w:vAlign w:val="top"/>
          </w:tcPr>
          <w:p>
            <w:pPr>
              <w:jc w:val="right"/>
            </w:pPr>
            <w:r>
              <w:rPr>
                <w:b w:val="true"/>
                <w:sz w:val="44"/>
                <w:szCs w:val="44"/>
              </w:rPr>
              <w:t>Resolution R-26-032</w:t>
            </w:r>
          </w:p>
          <w:p/>
          <w:p>
            <w:pPr>
              <w:jc w:val="right"/>
            </w:pPr>
            <w:r>
              <w:t>Introduced By: Leland Town Council</w:t>
            </w:r>
          </w:p>
          <w:p>
            <w:pPr>
              <w:spacing w:before="60"/>
              <w:jc w:val="right"/>
            </w:pPr>
            <w:r>
              <w:rPr>
                <w:sz w:val="22"/>
                <w:szCs w:val="22"/>
              </w:rPr>
              <w:t xml:space="preserve">Date: </w:t>
            </w:r>
            <w:r>
              <w:rPr>
                <w:sz w:val="22"/>
                <w:szCs w:val="22"/>
              </w:rPr>
              <w:t>April 16, 2026</w:t>
            </w:r>
          </w:p>
        </w:tc>
      </w:tr>
    </w:tbl>
    <w:p/>
    <w:p/>
    <w:p>
      <w:pPr>
        <w:jc w:val="center"/>
      </w:pPr>
      <w:r>
        <w:rPr>
          <w:rFonts w:ascii="Calibri" w:hAnsi="Calibri" w:cs="Calibri"/>
          <w:b w:val="true"/>
          <w:sz w:val="26"/>
          <w:szCs w:val="26"/>
        </w:rPr>
        <w:t>Resolution R-26-032 Supporting Equitable Cost Participation by the North Carolina State Ports Authority in the Replacement of the Cape Fear Memorial Bridge</w:t>
      </w:r>
    </w:p>
    <w:p/>
    <w:p>
      <w:r>
        <w:rPr>
          <w:rFonts w:ascii="Calibri" w:hAnsi="Calibri" w:cs="Calibri"/>
          <w:b w:val="true"/>
          <w:sz w:val="24"/>
          <w:szCs w:val="24"/>
        </w:rPr>
        <w:t xml:space="preserve">WHEREAS</w:t>
      </w:r>
      <w:r>
        <w:rPr>
          <w:rFonts w:ascii="Calibri" w:hAnsi="Calibri" w:cs="Calibri"/>
          <w:sz w:val="24"/>
          <w:szCs w:val="24"/>
        </w:rPr>
        <w:t xml:space="preserve">, the Cape Fear Memorial Bridge is a critical transportation link connecting the residents, workforce, and businesses of the Lower Cape Fear Region, supporting daily travel for employment, education, emergency services, and commerce;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bridge serves as a primary corridor for freight movement to and from the Port of Wilmington, a major economic engine for the region and the State of North Carolina;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heavy truck traffic associated with port activity contributes disproportionately to roadway and bridge wear, consistent with well-established engineering principles regarding axle load impacts;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under North Carolina law, passenger vehicles are subject to an uncapped Highway Use Tax assessed as a full percentage of vehicle value, while 18-wheel commercial trucks, such as those supporting landside freight movement to and from the Port of Wilmington, despite substantially higher vehicle values and exponentially greater wear on public roads and bridges, are subject to a capped Highway Use Tax of $2,000, resulting in a materially lower effective contribution relative to their disproportionate impact on the transportation system;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replacement of the Cape Fear Memorial Bridge is expected to require substantial public investment, potentially including federal, state, and local funding sources;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proposals to finance the bridge through tolling would place a direct and recurring financial burden on local residents and businesses, many of whom rely on the bridge daily and have no reasonable alternative routes with the exception of the Elizabeth Holmes Bridge;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approximately 125,000 residents on the Wilmington side of the Cape Fear River depend on the Cape Fear Memorial Bridge for daily travel, and during hurricanes or other major emergencies that could occur, the bridge serves as a primary evacuation route;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North Carolina State Ports Authority is a state entity whose operations directly benefit from and depend upon the continued functionality of the Cape Fear Memorial Bridge;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there is no explicit legal prohibition preventing the Ports Authority from participating in the funding of infrastructure improvements that support its operations, provided such participation is authorized and structured in accordance with applicable law;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Wilmington Urban Area Metropolitan Planning Organization (WMPO) is charged with exploring all potential options for funding the replacement of the Cape Fear Memorial Bridge;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proposed Cape Fear Crossing toll bridge, with landings at Independence Road, in New Hanover County, and potentially near Daws Creek Road, in Brunswick County, represents a major regional investment alternative and should be reevaluated alongside the Cape Fear Memorial Bridge replacement to ensure that all viable options are compared on a consistent and transparent basis with respect to cost, traffic distribution, environmental impacts, and long-term regional benefit, and further, that the project remains included in the State Transportation Improvement Program (STIP), albeit currently unfunded;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WMPO possesses the legal authority to coordinate and collaborate with the Cape Fear Rural Planning Organization (RPO) to jointly evaluate and advance transportation alternatives, including the potential Cape Fear Crossing - Daws Creek Road bridge landing site within the RPO’s jurisdictional boundaries, for further extension and connection to U.S. Route 17, while recognizing that final approval and implementation authority resides with the North Carolina Department of Transportation and, where applicable, the Federal Highway Administration;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the State of North Carolina has funded major transportation infrastructure projects without reliance on tolling, including the approximate $1.34 billion improvement of Capitol Boulevard in Raleigh, and the absence of a comparable untolled funding commitment for the replacement of the Cape Fear Memorial Bridge, despite its critical role in regional mobility, commerce, and emergency evacuation, highlights a disparity in funding approach that warrants careful reconsideration to ensure consistency, fairness, and regional equity in statewide transportation investment decisions; and</w:t>
      </w:r>
    </w:p>
    <w:p>
      <w:r>
        <w:rPr>
          <w:rFonts w:ascii="Calibri" w:hAnsi="Calibri" w:cs="Calibri"/>
          <w:sz w:val="24"/>
          <w:szCs w:val="24"/>
        </w:rPr>
        <w:t xml:space="preserve"> </w:t>
      </w:r>
    </w:p>
    <w:p>
      <w:r>
        <w:rPr>
          <w:rFonts w:ascii="Calibri" w:hAnsi="Calibri" w:cs="Calibri"/>
          <w:b w:val="true"/>
          <w:sz w:val="24"/>
          <w:szCs w:val="24"/>
        </w:rPr>
        <w:t xml:space="preserve">WHEREAS</w:t>
      </w:r>
      <w:r>
        <w:rPr>
          <w:rFonts w:ascii="Calibri" w:hAnsi="Calibri" w:cs="Calibri"/>
          <w:sz w:val="24"/>
          <w:szCs w:val="24"/>
        </w:rPr>
        <w:t xml:space="preserve">, principles of fairness, fiscal responsibility, and sound public policy require that those who most depend upon and benefit from critical infrastructure, including the North Carolina State Ports Authority, whose operations would not exist in their current form without the Cape Fear Memorial Bridge, participate meaningfully in its replacement, and failure to align cost responsibility with actual use risks undermining both the fairness and the integrity of the public decision-making process.</w:t>
      </w:r>
    </w:p>
    <w:p>
      <w:r>
        <w:rPr>
          <w:rFonts w:ascii="Calibri" w:hAnsi="Calibri" w:cs="Calibri"/>
          <w:sz w:val="24"/>
          <w:szCs w:val="24"/>
        </w:rPr>
        <w:t xml:space="preserve"> </w:t>
      </w:r>
    </w:p>
    <w:p>
      <w:r>
        <w:rPr>
          <w:rFonts w:ascii="Calibri" w:hAnsi="Calibri" w:cs="Calibri"/>
          <w:b w:val="true"/>
          <w:sz w:val="24"/>
          <w:szCs w:val="24"/>
        </w:rPr>
        <w:t xml:space="preserve">THEREFORE, BE IT RESOLVED</w:t>
      </w:r>
      <w:r>
        <w:rPr>
          <w:rFonts w:ascii="Calibri" w:hAnsi="Calibri" w:cs="Calibri"/>
          <w:sz w:val="24"/>
          <w:szCs w:val="24"/>
        </w:rPr>
        <w:t xml:space="preserve"> by the Town Council of Leland, North Carolina that the Town of Leland supports a funding strategy for the replacement of the Cape Fear Memorial Bridge that includes meaningful and proportionate financial participation from entities whose operations materially contribute to bridge usage and structural wear, including the North Carolina State Ports Authority; and</w:t>
      </w:r>
    </w:p>
    <w:p>
      <w:r>
        <w:rPr>
          <w:rFonts w:ascii="Calibri" w:hAnsi="Calibri" w:cs="Calibri"/>
          <w:b w:val="true"/>
          <w:sz w:val="24"/>
          <w:szCs w:val="24"/>
        </w:rPr>
        <w:t xml:space="preserve"> </w:t>
      </w:r>
    </w:p>
    <w:p>
      <w:r>
        <w:rPr>
          <w:rFonts w:ascii="Calibri" w:hAnsi="Calibri" w:cs="Calibri"/>
          <w:b w:val="true"/>
          <w:sz w:val="24"/>
          <w:szCs w:val="24"/>
        </w:rPr>
        <w:t xml:space="preserve">BE IT FURTHER RESOLVED</w:t>
      </w:r>
      <w:r>
        <w:rPr>
          <w:rFonts w:ascii="Calibri" w:hAnsi="Calibri" w:cs="Calibri"/>
          <w:sz w:val="24"/>
          <w:szCs w:val="24"/>
        </w:rPr>
        <w:t xml:space="preserve">, that the Town opposes funding approaches that impose a disproportionate or recurring financial burden on local residents, including tolling structures that require daily commuters to bear the primary cost of bridge replacement; and</w:t>
      </w:r>
    </w:p>
    <w:p>
      <w:r>
        <w:rPr>
          <w:rFonts w:ascii="Calibri" w:hAnsi="Calibri" w:cs="Calibri"/>
          <w:b w:val="true"/>
          <w:sz w:val="24"/>
          <w:szCs w:val="24"/>
        </w:rPr>
        <w:t xml:space="preserve"> </w:t>
      </w:r>
    </w:p>
    <w:p>
      <w:r>
        <w:rPr>
          <w:rFonts w:ascii="Calibri" w:hAnsi="Calibri" w:cs="Calibri"/>
          <w:b w:val="true"/>
          <w:sz w:val="24"/>
          <w:szCs w:val="24"/>
        </w:rPr>
        <w:t xml:space="preserve">BE IT FURTHER RESOLVED</w:t>
      </w:r>
      <w:r>
        <w:rPr>
          <w:rFonts w:ascii="Calibri" w:hAnsi="Calibri" w:cs="Calibri"/>
          <w:sz w:val="24"/>
          <w:szCs w:val="24"/>
        </w:rPr>
        <w:t xml:space="preserve">, that the Town calls upon the North Carolina General Assembly, the North Carolina Department of Transportation, and relevant state agencies to evaluate and implement funding mechanisms, including legislative authorization, interagency agreements, and public-private partnerships, that align infrastructure costs with usage and enable participation by the North Carolina State Ports Authority; and</w:t>
      </w:r>
    </w:p>
    <w:p>
      <w:r>
        <w:rPr>
          <w:rFonts w:ascii="Calibri" w:hAnsi="Calibri" w:cs="Calibri"/>
          <w:b w:val="true"/>
          <w:sz w:val="24"/>
          <w:szCs w:val="24"/>
        </w:rPr>
        <w:t xml:space="preserve"> </w:t>
      </w:r>
    </w:p>
    <w:p>
      <w:r>
        <w:rPr>
          <w:rFonts w:ascii="Calibri" w:hAnsi="Calibri" w:cs="Calibri"/>
          <w:b w:val="true"/>
          <w:sz w:val="24"/>
          <w:szCs w:val="24"/>
        </w:rPr>
        <w:t xml:space="preserve">BE IT FURTHER RESOLVED</w:t>
      </w:r>
      <w:r>
        <w:rPr>
          <w:rFonts w:ascii="Calibri" w:hAnsi="Calibri" w:cs="Calibri"/>
          <w:sz w:val="24"/>
          <w:szCs w:val="24"/>
        </w:rPr>
        <w:t xml:space="preserve">, that the Town urges all reasonable transportation and funding alternatives, including the proposed Cape Fear Crossing, be evaluated on a consistent, transparent, and data-driven basis to ensure the most effective long-term solution for regional mobility, resilience, and economic vitality; and</w:t>
      </w:r>
    </w:p>
    <w:p>
      <w:r>
        <w:rPr>
          <w:rFonts w:ascii="Calibri" w:hAnsi="Calibri" w:cs="Calibri"/>
          <w:b w:val="true"/>
          <w:sz w:val="24"/>
          <w:szCs w:val="24"/>
        </w:rPr>
        <w:t xml:space="preserve"> </w:t>
      </w:r>
    </w:p>
    <w:p>
      <w:r>
        <w:rPr>
          <w:rFonts w:ascii="Calibri" w:hAnsi="Calibri" w:cs="Calibri"/>
          <w:b w:val="true"/>
          <w:sz w:val="24"/>
          <w:szCs w:val="24"/>
        </w:rPr>
        <w:t xml:space="preserve">BE IT FURTHER RESOLVED</w:t>
      </w:r>
      <w:r>
        <w:rPr>
          <w:rFonts w:ascii="Calibri" w:hAnsi="Calibri" w:cs="Calibri"/>
          <w:sz w:val="24"/>
          <w:szCs w:val="24"/>
        </w:rPr>
        <w:t xml:space="preserve">, that the Town affirms that decisions regarding the replacement of the Cape Fear Memorial Bridge should reflect principles of fairness, long-term financial sustainability, regional equity, and transparency in the public decision-making process; and</w:t>
      </w:r>
    </w:p>
    <w:p>
      <w:r>
        <w:rPr>
          <w:rFonts w:ascii="Calibri" w:hAnsi="Calibri" w:cs="Calibri"/>
          <w:b w:val="true"/>
          <w:sz w:val="24"/>
          <w:szCs w:val="24"/>
        </w:rPr>
        <w:t xml:space="preserve"> </w:t>
      </w:r>
    </w:p>
    <w:p>
      <w:r>
        <w:rPr>
          <w:rFonts w:ascii="Calibri" w:hAnsi="Calibri" w:cs="Calibri"/>
          <w:b w:val="true"/>
          <w:sz w:val="24"/>
          <w:szCs w:val="24"/>
        </w:rPr>
        <w:t xml:space="preserve">BE IT FURTHER RESOLVED</w:t>
      </w:r>
      <w:r>
        <w:rPr>
          <w:rFonts w:ascii="Calibri" w:hAnsi="Calibri" w:cs="Calibri"/>
          <w:sz w:val="24"/>
          <w:szCs w:val="24"/>
        </w:rPr>
        <w:t xml:space="preserve">, that the Town Clerk is directed to transmit this resolution to members of the North Carolina General Assembly representing this region, the North Carolina Department of Transportation, the North Carolina State Ports Authority, the Wilmington Urban Area Metropolitan Planning Organization (WMPO), and other relevant stakeholders, and to advocate for its consideration in all related deliberations.</w:t>
      </w:r>
    </w:p>
    <w:p/>
    <w:p>
      <w:r>
        <w:rPr>
          <w:rFonts w:ascii="Calibri" w:hAnsi="Calibri" w:cs="Calibri"/>
          <w:sz w:val="22"/>
          <w:szCs w:val="22"/>
        </w:rPr>
        <w:t>Adopted by Town Council on this 16 day of April, 2026.</w:t>
      </w:r>
    </w:p>
    <w:p/>
    <w:p/>
    <w:p/>
    <w:p/>
    <w:bookmarkStart w:name="TemplateTable-54" w:id="54"/>
    <w:bookmarkEnd w:id="54"/>
    <w:tbl>
      <w:tblPr>
        <w:tblW w:w="0" w:type="dxa"/>
      </w:tblPr>
      <w:tblGrid>
        <w:gridCol w:w="3960"/>
        <w:gridCol w:w="1440"/>
        <w:gridCol w:w="3960"/>
      </w:tblGrid>
      <w:tr>
        <w:trPr>
          <w:cantSplit w:val="off"/>
        </w:trPr>
        <w:tc>
          <w:tcPr>
            <w:tcW w:w="3960" w:type="dxa"/>
            <w:tcBorders>
              <w:top w:val="single" w:color="000000" w:sz="4" w:space="0"/>
            </w:tcBorders>
          </w:tcPr>
          <w:p>
            <w:r>
              <w:rPr>
                <w:sz w:val="22"/>
                <w:szCs w:val="22"/>
              </w:rPr>
              <w:t>Brenda Bozeman, Mayor</w:t>
            </w:r>
          </w:p>
        </w:tc>
        <w:tc>
          <w:tcPr>
            <w:tcW w:w="1440" w:type="dxa"/>
          </w:tcPr>
          <w:p/>
        </w:tc>
        <w:tc>
          <w:tcPr>
            <w:tcW w:w="3960" w:type="dxa"/>
            <w:tcBorders>
              <w:top w:val="single" w:color="000000" w:sz="4" w:space="0"/>
            </w:tcBorders>
          </w:tcPr>
          <w:p>
            <w:r>
              <w:rPr>
                <w:sz w:val="22"/>
                <w:szCs w:val="22"/>
              </w:rPr>
              <w:t>Sabrena A. Reinhardt, Town Clerk</w:t>
            </w:r>
          </w:p>
        </w:tc>
      </w:tr>
    </w:tbl>
    <w:sectPr>
      <w:footerReference w:type="even" r:id="Re37ff4c266694402"/>
      <w:footerReference w:type="default" r:id="Rf721bdadd9bf4fee"/>
      <w:footerReference w:type="first" r:id="R319f2ecc979e470b"/>
      <w:pgMar w:top="1440" w:right="1440" w:bottom="1440" w:left="144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w:p>
    <w:r>
      <w:rPr>
        <w:sz w:val="22"/>
        <w:szCs w:val="22"/>
      </w:rPr>
      <w:t>Resolutions</w:t>
    </w:r>
  </w:p>
</w:ftr>
</file>

<file path=word/footer2.xml><?xml version="1.0" encoding="utf-8"?>
<w:ftr xmlns:w="http://schemas.openxmlformats.org/wordprocessingml/2006/main">
  <w:p>
    <w:r>
      <w:rPr>
        <w:sz w:val="22"/>
        <w:szCs w:val="22"/>
      </w:rPr>
      <w:t>Resolutions</w:t>
    </w:r>
  </w:p>
</w:ftr>
</file>

<file path=word/footer3.xml><?xml version="1.0" encoding="utf-8"?>
<w:ftr xmlns:w="http://schemas.openxmlformats.org/wordprocessingml/2006/main">
  <w:p>
    <w:r>
      <w:rPr>
        <w:sz w:val="22"/>
        <w:szCs w:val="22"/>
      </w:rPr>
      <w:t>Resolutions</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EDA"/>
    <w:rsid w:val="001D2939"/>
    <w:rsid w:val="007F0355"/>
    <w:rsid w:val="00B02EDA"/>
    <w:rsid w:val="00CA351D"/>
  </w:rsids>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themeFontLang w:val="en-US" w:eastAsia="en-US" w:bidi="en-US"/>
  <w:activeWritingStyle w:lang="en-US"/>
  <w:compat>
    <w:compatSetting w:name="compatibilityMode" w:uri="http://schemas.microsoft.com/office/word" w:val="16"/>
  </w:compat>
</w:settings>
</file>

<file path=word/styles.xml><?xml version="1.0" encoding="utf-8"?>
<w:styles xmlns:r="http://schemas.openxmlformats.org/officeDocument/2006/relationships" xmlns:w="http://schemas.openxmlformats.org/wordprocessingml/2006/main">
  <w:docDefaults>
    <w:rPrDefault>
      <w:rPr>
        <w:rFonts w:ascii="Calibri" w:hAnsi="Calibri" w:cs="Calibri"/>
        <w:sz w:val="24"/>
        <w:szCs w:val="24"/>
        <w:lang w:val="en-US" w:eastAsia="en-US" w:bidi="en-US"/>
      </w:rPr>
    </w:rPrDefault>
    <w:pPrDefault>
      <w:pPr>
        <w:spacing w:after="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A351D"/>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66da7dca497450c" /><Relationship Type="http://schemas.openxmlformats.org/officeDocument/2006/relationships/footer" Target="/word/footer1.xml" Id="R319f2ecc979e470b" /><Relationship Type="http://schemas.openxmlformats.org/officeDocument/2006/relationships/footer" Target="/word/footer2.xml" Id="Rf721bdadd9bf4fee" /><Relationship Type="http://schemas.openxmlformats.org/officeDocument/2006/relationships/footer" Target="/word/footer3.xml" Id="Re37ff4c2666944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dc="http://purl.org/dc/elements/1.1/" xmlns:dcterms="http://purl.org/dc/terms/" xmlns:xsi="http://www.w3.org/2001/XMLSchema-instance" xmlns="http://schemas.openxmlformats.org/package/2006/metadata/core-properties">
  <dc:subject/>
  <keywords> iCompass-Open-Document</keywords>
  <dc:description/>
  <lastModifiedBy/>
  <revision>1</revision>
  <dcterms:created xsi:type="dcterms:W3CDTF">2009-12-03T19:00:00.0000000Z</dcterms:created>
  <dcterms:modified xsi:type="dcterms:W3CDTF">2009-12-03T19:00:00.0000000Z</dcterms:modified>
  <category> iCompass-Open-Document</category>
</coreProperties>
</file>